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576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548"/>
        <w:gridCol w:w="3870"/>
        <w:gridCol w:w="4158"/>
        <w:tblGridChange w:id="0">
          <w:tblGrid>
            <w:gridCol w:w="1548"/>
            <w:gridCol w:w="3870"/>
            <w:gridCol w:w="4158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North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South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Strengths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Weaknesses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Leadership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Lincoln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Military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Grant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Jefferson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Military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Lee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720"/>
      <w:contextualSpacing w:val="0"/>
    </w:pPr>
    <w:r w:rsidRPr="00000000" w:rsidR="00000000" w:rsidDel="00000000">
      <w:rPr>
        <w:rFonts w:cs="Calibri" w:hAnsi="Calibri" w:eastAsia="Calibri" w:ascii="Calibri"/>
        <w:b w:val="0"/>
        <w:sz w:val="22"/>
        <w:rtl w:val="0"/>
      </w:rPr>
      <w:t xml:space="preserve">95.  I can contrast the strengths and weaknesses of the North and South during the Civil War.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